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3454" w14:textId="544426D8"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Professionel og hurtig skødeskrivning, hvor vi sikrer, at handlen gennemføres som aftalt i købsaftalen</w:t>
      </w:r>
    </w:p>
    <w:tbl>
      <w:tblPr>
        <w:tblStyle w:val="TableGrid"/>
        <w:tblW w:w="0" w:type="auto"/>
        <w:tblLook w:val="04A0" w:firstRow="1" w:lastRow="0" w:firstColumn="1" w:lastColumn="0" w:noHBand="0" w:noVBand="1"/>
      </w:tblPr>
      <w:tblGrid>
        <w:gridCol w:w="4508"/>
        <w:gridCol w:w="4508"/>
      </w:tblGrid>
      <w:tr w:rsidR="000A7BE5" w:rsidRPr="000A7BE5" w14:paraId="50B07B83" w14:textId="77777777" w:rsidTr="004F3520">
        <w:trPr>
          <w:trHeight w:val="411"/>
        </w:trPr>
        <w:tc>
          <w:tcPr>
            <w:tcW w:w="4508" w:type="dxa"/>
            <w:vMerge w:val="restart"/>
          </w:tcPr>
          <w:p w14:paraId="3F074795"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Skøde</w:t>
            </w:r>
          </w:p>
          <w:p w14:paraId="28F59125" w14:textId="77777777" w:rsidR="004F3520" w:rsidRPr="000A7BE5" w:rsidRDefault="004F3520" w:rsidP="000A7BE5">
            <w:pPr>
              <w:rPr>
                <w:rFonts w:asciiTheme="majorHAnsi" w:hAnsiTheme="majorHAnsi" w:cstheme="majorHAnsi"/>
                <w:sz w:val="20"/>
                <w:szCs w:val="20"/>
                <w:lang w:val="da-DK"/>
              </w:rPr>
            </w:pPr>
          </w:p>
          <w:p w14:paraId="322A5E77" w14:textId="7A8F9CB5"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Udarbejdelse &amp; tinglysning af skøde</w:t>
            </w:r>
            <w:r w:rsidRPr="000A7BE5">
              <w:rPr>
                <w:rFonts w:asciiTheme="majorHAnsi" w:hAnsiTheme="majorHAnsi" w:cstheme="majorHAnsi"/>
                <w:sz w:val="20"/>
                <w:szCs w:val="20"/>
                <w:lang w:val="da-DK"/>
              </w:rPr>
              <w:br/>
            </w:r>
            <w:r w:rsidRPr="000A7BE5">
              <w:rPr>
                <w:rFonts w:asciiTheme="majorHAnsi" w:hAnsiTheme="majorHAnsi" w:cstheme="majorHAnsi"/>
                <w:sz w:val="20"/>
                <w:szCs w:val="20"/>
                <w:lang w:val="da-DK"/>
              </w:rPr>
              <w:br/>
              <w:t>Læs mere om skøde</w:t>
            </w:r>
            <w:r w:rsidRPr="000A7BE5">
              <w:rPr>
                <w:rFonts w:asciiTheme="majorHAnsi" w:hAnsiTheme="majorHAnsi" w:cstheme="majorHAnsi"/>
                <w:sz w:val="20"/>
                <w:szCs w:val="20"/>
                <w:lang w:val="da-DK"/>
              </w:rPr>
              <w:br/>
            </w:r>
            <w:r w:rsidRPr="000A7BE5">
              <w:rPr>
                <w:rFonts w:asciiTheme="majorHAnsi" w:hAnsiTheme="majorHAnsi" w:cstheme="majorHAnsi"/>
                <w:sz w:val="20"/>
                <w:szCs w:val="20"/>
                <w:lang w:val="da-DK"/>
              </w:rPr>
              <w:br/>
              <w:t>1.595 kr</w:t>
            </w:r>
            <w:r w:rsidR="000A7BE5">
              <w:rPr>
                <w:rFonts w:asciiTheme="majorHAnsi" w:hAnsiTheme="majorHAnsi" w:cstheme="majorHAnsi"/>
                <w:sz w:val="20"/>
                <w:szCs w:val="20"/>
                <w:lang w:val="da-DK"/>
              </w:rPr>
              <w:t>.</w:t>
            </w:r>
            <w:r w:rsidRPr="000A7BE5">
              <w:rPr>
                <w:rFonts w:asciiTheme="majorHAnsi" w:hAnsiTheme="majorHAnsi" w:cstheme="majorHAnsi"/>
                <w:sz w:val="20"/>
                <w:szCs w:val="20"/>
                <w:lang w:val="da-DK"/>
              </w:rPr>
              <w:br/>
            </w:r>
            <w:r w:rsidRPr="000A7BE5">
              <w:rPr>
                <w:rFonts w:asciiTheme="majorHAnsi" w:hAnsiTheme="majorHAnsi" w:cstheme="majorHAnsi"/>
                <w:sz w:val="20"/>
                <w:szCs w:val="20"/>
                <w:lang w:val="da-DK"/>
              </w:rPr>
              <w:br/>
              <w:t>Opret sag</w:t>
            </w:r>
          </w:p>
        </w:tc>
        <w:tc>
          <w:tcPr>
            <w:tcW w:w="4508" w:type="dxa"/>
          </w:tcPr>
          <w:p w14:paraId="1E76DAB1" w14:textId="3F8A8031"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Tilvalg</w:t>
            </w:r>
          </w:p>
        </w:tc>
      </w:tr>
      <w:tr w:rsidR="000A7BE5" w:rsidRPr="000A7BE5" w14:paraId="7094ADA3" w14:textId="77777777" w:rsidTr="004F3520">
        <w:trPr>
          <w:trHeight w:val="408"/>
        </w:trPr>
        <w:tc>
          <w:tcPr>
            <w:tcW w:w="4508" w:type="dxa"/>
            <w:vMerge/>
          </w:tcPr>
          <w:p w14:paraId="1BA5CA7D" w14:textId="77777777" w:rsidR="004F3520" w:rsidRPr="000A7BE5" w:rsidRDefault="004F3520" w:rsidP="000A7BE5">
            <w:pPr>
              <w:rPr>
                <w:rFonts w:asciiTheme="majorHAnsi" w:hAnsiTheme="majorHAnsi" w:cstheme="majorHAnsi"/>
                <w:sz w:val="20"/>
                <w:szCs w:val="20"/>
                <w:lang w:val="da-DK"/>
              </w:rPr>
            </w:pPr>
          </w:p>
        </w:tc>
        <w:tc>
          <w:tcPr>
            <w:tcW w:w="4508" w:type="dxa"/>
          </w:tcPr>
          <w:p w14:paraId="7D7CF9B0"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Refusionsopgørelse</w:t>
            </w:r>
          </w:p>
          <w:p w14:paraId="4255CC8A" w14:textId="73CD4938"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Læs mere om refusionsopgørelse</w:t>
            </w:r>
            <w:r w:rsidRPr="000A7BE5">
              <w:rPr>
                <w:rFonts w:asciiTheme="majorHAnsi" w:hAnsiTheme="majorHAnsi" w:cstheme="majorHAnsi"/>
                <w:sz w:val="20"/>
                <w:szCs w:val="20"/>
                <w:lang w:val="da-DK"/>
              </w:rPr>
              <w:br/>
              <w:t xml:space="preserve">795 kr. </w:t>
            </w:r>
          </w:p>
        </w:tc>
      </w:tr>
      <w:tr w:rsidR="000A7BE5" w:rsidRPr="000A7BE5" w14:paraId="24E1417E" w14:textId="77777777" w:rsidTr="004F3520">
        <w:trPr>
          <w:trHeight w:val="408"/>
        </w:trPr>
        <w:tc>
          <w:tcPr>
            <w:tcW w:w="4508" w:type="dxa"/>
            <w:vMerge/>
          </w:tcPr>
          <w:p w14:paraId="12D62873" w14:textId="77777777" w:rsidR="004F3520" w:rsidRPr="000A7BE5" w:rsidRDefault="004F3520" w:rsidP="000A7BE5">
            <w:pPr>
              <w:rPr>
                <w:rFonts w:asciiTheme="majorHAnsi" w:hAnsiTheme="majorHAnsi" w:cstheme="majorHAnsi"/>
                <w:sz w:val="20"/>
                <w:szCs w:val="20"/>
                <w:lang w:val="da-DK"/>
              </w:rPr>
            </w:pPr>
          </w:p>
        </w:tc>
        <w:tc>
          <w:tcPr>
            <w:tcW w:w="4508" w:type="dxa"/>
          </w:tcPr>
          <w:p w14:paraId="0D8A5E76"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v/ køb af ejerlejlighed</w:t>
            </w:r>
          </w:p>
          <w:p w14:paraId="63886054"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Sikkerhed til ejerforening</w:t>
            </w:r>
          </w:p>
          <w:p w14:paraId="1C11991D"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Læs mere om sikkerhed til ejerforening</w:t>
            </w:r>
          </w:p>
          <w:p w14:paraId="3CDA7C59" w14:textId="739CE0D4"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1.195 kr.</w:t>
            </w:r>
          </w:p>
        </w:tc>
      </w:tr>
      <w:tr w:rsidR="000A7BE5" w:rsidRPr="000A7BE5" w14:paraId="180406DC" w14:textId="77777777" w:rsidTr="004F3520">
        <w:trPr>
          <w:trHeight w:val="408"/>
        </w:trPr>
        <w:tc>
          <w:tcPr>
            <w:tcW w:w="4508" w:type="dxa"/>
            <w:vMerge/>
          </w:tcPr>
          <w:p w14:paraId="709A4C79" w14:textId="77777777" w:rsidR="004F3520" w:rsidRPr="000A7BE5" w:rsidRDefault="004F3520" w:rsidP="000A7BE5">
            <w:pPr>
              <w:rPr>
                <w:rFonts w:asciiTheme="majorHAnsi" w:hAnsiTheme="majorHAnsi" w:cstheme="majorHAnsi"/>
                <w:sz w:val="20"/>
                <w:szCs w:val="20"/>
                <w:lang w:val="da-DK"/>
              </w:rPr>
            </w:pPr>
          </w:p>
        </w:tc>
        <w:tc>
          <w:tcPr>
            <w:tcW w:w="4508" w:type="dxa"/>
          </w:tcPr>
          <w:p w14:paraId="6E59228F"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Køberrådgivning</w:t>
            </w:r>
          </w:p>
          <w:p w14:paraId="6A74A5A8" w14:textId="680E1203"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Læs mere om køberrådgivning</w:t>
            </w:r>
            <w:r w:rsidRPr="000A7BE5">
              <w:rPr>
                <w:rFonts w:asciiTheme="majorHAnsi" w:hAnsiTheme="majorHAnsi" w:cstheme="majorHAnsi"/>
                <w:sz w:val="20"/>
                <w:szCs w:val="20"/>
                <w:lang w:val="da-DK"/>
              </w:rPr>
              <w:br/>
              <w:t>3.995 kr.</w:t>
            </w:r>
          </w:p>
        </w:tc>
      </w:tr>
    </w:tbl>
    <w:p w14:paraId="387C6512" w14:textId="55930C87" w:rsidR="004F3520" w:rsidRPr="000A7BE5" w:rsidRDefault="000A7BE5" w:rsidP="000A7BE5">
      <w:pPr>
        <w:rPr>
          <w:rFonts w:asciiTheme="majorHAnsi" w:hAnsiTheme="majorHAnsi" w:cstheme="majorHAnsi"/>
          <w:color w:val="4472C4" w:themeColor="accent1"/>
          <w:sz w:val="20"/>
          <w:szCs w:val="20"/>
          <w:lang w:val="da-DK"/>
        </w:rPr>
      </w:pPr>
      <w:r>
        <w:rPr>
          <w:rFonts w:asciiTheme="majorHAnsi" w:hAnsiTheme="majorHAnsi" w:cstheme="majorHAnsi"/>
          <w:color w:val="4472C4" w:themeColor="accent1"/>
          <w:sz w:val="20"/>
          <w:szCs w:val="20"/>
          <w:lang w:val="da-DK"/>
        </w:rPr>
        <w:br/>
      </w:r>
      <w:r w:rsidR="004F3520" w:rsidRPr="000A7BE5">
        <w:rPr>
          <w:rFonts w:asciiTheme="majorHAnsi" w:hAnsiTheme="majorHAnsi" w:cstheme="majorHAnsi"/>
          <w:color w:val="4472C4" w:themeColor="accent1"/>
          <w:sz w:val="20"/>
          <w:szCs w:val="20"/>
          <w:lang w:val="da-DK"/>
        </w:rPr>
        <w:t>Svært ved at vælge?</w:t>
      </w:r>
      <w:r>
        <w:rPr>
          <w:rFonts w:asciiTheme="majorHAnsi" w:hAnsiTheme="majorHAnsi" w:cstheme="majorHAnsi"/>
          <w:color w:val="4472C4" w:themeColor="accent1"/>
          <w:sz w:val="20"/>
          <w:szCs w:val="20"/>
          <w:lang w:val="da-DK"/>
        </w:rPr>
        <w:br/>
      </w:r>
      <w:r w:rsidR="004F3520" w:rsidRPr="000A7BE5">
        <w:rPr>
          <w:rFonts w:asciiTheme="majorHAnsi" w:hAnsiTheme="majorHAnsi" w:cstheme="majorHAnsi"/>
          <w:sz w:val="20"/>
          <w:szCs w:val="20"/>
          <w:lang w:val="da-DK"/>
        </w:rPr>
        <w:t>Lær produkterne at kende</w:t>
      </w:r>
    </w:p>
    <w:tbl>
      <w:tblPr>
        <w:tblStyle w:val="TableGrid"/>
        <w:tblW w:w="0" w:type="auto"/>
        <w:tblLook w:val="04A0" w:firstRow="1" w:lastRow="0" w:firstColumn="1" w:lastColumn="0" w:noHBand="0" w:noVBand="1"/>
      </w:tblPr>
      <w:tblGrid>
        <w:gridCol w:w="4508"/>
        <w:gridCol w:w="4508"/>
      </w:tblGrid>
      <w:tr w:rsidR="000A7BE5" w:rsidRPr="000A7BE5" w14:paraId="522C696B" w14:textId="77777777" w:rsidTr="004F3520">
        <w:tc>
          <w:tcPr>
            <w:tcW w:w="4508" w:type="dxa"/>
          </w:tcPr>
          <w:p w14:paraId="5F7131DE" w14:textId="2EAF29FF"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b/>
                <w:bCs/>
                <w:sz w:val="20"/>
                <w:szCs w:val="20"/>
                <w:lang w:val="da-DK"/>
              </w:rPr>
              <w:t xml:space="preserve">Skøde </w:t>
            </w:r>
            <w:r w:rsidRPr="000A7BE5">
              <w:rPr>
                <w:rFonts w:asciiTheme="majorHAnsi" w:hAnsiTheme="majorHAnsi" w:cstheme="majorHAnsi"/>
                <w:sz w:val="20"/>
                <w:szCs w:val="20"/>
                <w:lang w:val="da-DK"/>
              </w:rPr>
              <w:br/>
              <w:t>En tinglysning kan være en svær proces, og derfor er det altid en god ide at få professionelle</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skødeskrivere til at udarbejde ejendomshandlens endelige dokumenter.</w:t>
            </w:r>
          </w:p>
          <w:p w14:paraId="149308B6" w14:textId="77777777" w:rsidR="004F3520" w:rsidRPr="000A7BE5" w:rsidRDefault="004F3520" w:rsidP="000A7BE5">
            <w:pPr>
              <w:rPr>
                <w:rFonts w:asciiTheme="majorHAnsi" w:hAnsiTheme="majorHAnsi" w:cstheme="majorHAnsi"/>
                <w:sz w:val="20"/>
                <w:szCs w:val="20"/>
                <w:lang w:val="da-DK"/>
              </w:rPr>
            </w:pPr>
          </w:p>
          <w:p w14:paraId="67C1F9A5" w14:textId="4D693C3F"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Boliga Skøde indhenter alle de nødvendige</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oplysninger for, at din bolighandel kan fuldendes. Vi</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 xml:space="preserve">sørger for at skødet udarbejdes og tinglyses </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ligesom vi også kan hjælpe dig med at udarbejde refusionsopgørelsen, når boligen er overdraget. Hele processen foregår elektronisk, hvilket sparer dig for høje gebyrer og lange mailkorrespondancer med rådgivere, sagsbehandlere og advokater.</w:t>
            </w:r>
          </w:p>
          <w:p w14:paraId="17930C61" w14:textId="77777777" w:rsidR="004F3520" w:rsidRPr="000A7BE5" w:rsidRDefault="004F3520" w:rsidP="000A7BE5">
            <w:pPr>
              <w:rPr>
                <w:rFonts w:asciiTheme="majorHAnsi" w:hAnsiTheme="majorHAnsi" w:cstheme="majorHAnsi"/>
                <w:sz w:val="20"/>
                <w:szCs w:val="20"/>
                <w:lang w:val="da-DK"/>
              </w:rPr>
            </w:pPr>
          </w:p>
          <w:p w14:paraId="7F4EAC1E" w14:textId="776CE880"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Har du brug for hjælp tidligere i processen, står vores dygtige samarbejdspartnere klar til at gennemgå boligens dokumenter, købsaftale og lignende, inden du skriver under. </w:t>
            </w:r>
          </w:p>
          <w:p w14:paraId="512DF4A8" w14:textId="77777777" w:rsidR="004F3520" w:rsidRPr="000A7BE5" w:rsidRDefault="004F3520" w:rsidP="000A7BE5">
            <w:pPr>
              <w:rPr>
                <w:rFonts w:asciiTheme="majorHAnsi" w:hAnsiTheme="majorHAnsi" w:cstheme="majorHAnsi"/>
                <w:sz w:val="20"/>
                <w:szCs w:val="20"/>
                <w:lang w:val="da-DK"/>
              </w:rPr>
            </w:pPr>
          </w:p>
        </w:tc>
        <w:tc>
          <w:tcPr>
            <w:tcW w:w="4508" w:type="dxa"/>
          </w:tcPr>
          <w:p w14:paraId="248E3301"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Refusionsopgørelse</w:t>
            </w:r>
          </w:p>
          <w:p w14:paraId="142CC057" w14:textId="59391A65"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Refusionsopgørelsen er regnskabet mellem køber og sælger. Den viser, hvad køber skylder sælger eller omvendt.</w:t>
            </w:r>
          </w:p>
          <w:p w14:paraId="13DB82C7" w14:textId="77777777" w:rsidR="004F3520" w:rsidRPr="000A7BE5" w:rsidRDefault="004F3520" w:rsidP="000A7BE5">
            <w:pPr>
              <w:rPr>
                <w:rFonts w:asciiTheme="majorHAnsi" w:hAnsiTheme="majorHAnsi" w:cstheme="majorHAnsi"/>
                <w:sz w:val="20"/>
                <w:szCs w:val="20"/>
                <w:lang w:val="da-DK"/>
              </w:rPr>
            </w:pPr>
          </w:p>
          <w:p w14:paraId="4225E46C" w14:textId="3BAEFB8E"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Refusionsopgørelsen er obligatorisk i en ejendomshandel og udarbejdes typisk af købers advokat eller af ejendomsmægleren.</w:t>
            </w:r>
          </w:p>
          <w:p w14:paraId="42B8CFE3" w14:textId="77777777" w:rsidR="004F3520" w:rsidRPr="000A7BE5" w:rsidRDefault="004F3520" w:rsidP="000A7BE5">
            <w:pPr>
              <w:rPr>
                <w:rFonts w:asciiTheme="majorHAnsi" w:hAnsiTheme="majorHAnsi" w:cstheme="majorHAnsi"/>
                <w:sz w:val="20"/>
                <w:szCs w:val="20"/>
                <w:lang w:val="da-DK"/>
              </w:rPr>
            </w:pPr>
          </w:p>
          <w:p w14:paraId="6B0FA4A6" w14:textId="5923AB5F"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Du kan i stedet vælge at lade Boliga Skøde lave opgørelsen, når vi samtidig laver dit skøde. Så sørger vi for, at alle oplysninger i opgørelsen er med og korrekte.</w:t>
            </w:r>
          </w:p>
        </w:tc>
      </w:tr>
      <w:tr w:rsidR="000A7BE5" w:rsidRPr="000A7BE5" w14:paraId="515F1E05" w14:textId="77777777" w:rsidTr="004F3520">
        <w:tc>
          <w:tcPr>
            <w:tcW w:w="4508" w:type="dxa"/>
          </w:tcPr>
          <w:p w14:paraId="45EC2941"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Sikkerhed til ejerforening</w:t>
            </w:r>
          </w:p>
          <w:p w14:paraId="0FF776E9"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Mange ejerforeninger kræver, at køber stiller sikkerhed for et beløb, der kan dække ubetalte fællesudgifter. I nogle tilfælde skal sikkerheden stilles i en form, der skal tinglyses.</w:t>
            </w:r>
          </w:p>
          <w:p w14:paraId="23998962" w14:textId="77777777" w:rsidR="004F3520" w:rsidRPr="000A7BE5" w:rsidRDefault="004F3520" w:rsidP="000A7BE5">
            <w:pPr>
              <w:rPr>
                <w:rFonts w:asciiTheme="majorHAnsi" w:hAnsiTheme="majorHAnsi" w:cstheme="majorHAnsi"/>
                <w:sz w:val="20"/>
                <w:szCs w:val="20"/>
                <w:lang w:val="da-DK"/>
              </w:rPr>
            </w:pPr>
          </w:p>
          <w:p w14:paraId="54384C0B" w14:textId="26A68744"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Spørg ejendomsmægleren, om ejerforeningen kræver tinglyste ændringer i deres </w:t>
            </w:r>
            <w:proofErr w:type="spellStart"/>
            <w:r w:rsidRPr="000A7BE5">
              <w:rPr>
                <w:rFonts w:asciiTheme="majorHAnsi" w:hAnsiTheme="majorHAnsi" w:cstheme="majorHAnsi"/>
                <w:sz w:val="20"/>
                <w:szCs w:val="20"/>
                <w:lang w:val="da-DK"/>
              </w:rPr>
              <w:t>sikkerhedstillelse</w:t>
            </w:r>
            <w:proofErr w:type="spellEnd"/>
            <w:r w:rsidRPr="000A7BE5">
              <w:rPr>
                <w:rFonts w:asciiTheme="majorHAnsi" w:hAnsiTheme="majorHAnsi" w:cstheme="majorHAnsi"/>
                <w:sz w:val="20"/>
                <w:szCs w:val="20"/>
                <w:lang w:val="da-DK"/>
              </w:rPr>
              <w:t xml:space="preserve"> til ejerforeningen.</w:t>
            </w:r>
          </w:p>
          <w:p w14:paraId="0ECA1ADD" w14:textId="77777777" w:rsidR="004F3520" w:rsidRPr="000A7BE5" w:rsidRDefault="004F3520" w:rsidP="000A7BE5">
            <w:pPr>
              <w:rPr>
                <w:rFonts w:asciiTheme="majorHAnsi" w:hAnsiTheme="majorHAnsi" w:cstheme="majorHAnsi"/>
                <w:sz w:val="20"/>
                <w:szCs w:val="20"/>
                <w:lang w:val="da-DK"/>
              </w:rPr>
            </w:pPr>
          </w:p>
          <w:p w14:paraId="0CD5041E" w14:textId="7A755418"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Hvis de kræver tinglyste ændringer, kan du lade Boliga Skøde håndtere dem for dig.</w:t>
            </w:r>
          </w:p>
        </w:tc>
        <w:tc>
          <w:tcPr>
            <w:tcW w:w="4508" w:type="dxa"/>
          </w:tcPr>
          <w:p w14:paraId="1B96A1A5"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Køberrådgivning</w:t>
            </w:r>
          </w:p>
          <w:p w14:paraId="07C9A465" w14:textId="6110C862"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Et boligkøb kan være en kompliceret proces. Hvis du tilvælger køberrådgivning, skal du selv gøre så lidt som muligt i købsprocessen.</w:t>
            </w:r>
          </w:p>
          <w:p w14:paraId="5DB45BDB" w14:textId="77777777" w:rsidR="004F3520" w:rsidRPr="000A7BE5" w:rsidRDefault="004F3520" w:rsidP="000A7BE5">
            <w:pPr>
              <w:rPr>
                <w:rFonts w:asciiTheme="majorHAnsi" w:hAnsiTheme="majorHAnsi" w:cstheme="majorHAnsi"/>
                <w:sz w:val="20"/>
                <w:szCs w:val="20"/>
                <w:lang w:val="da-DK"/>
              </w:rPr>
            </w:pPr>
          </w:p>
          <w:p w14:paraId="6B34BDFE"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Vælger du at få køberrådgivning skal du sikre dig, at </w:t>
            </w:r>
          </w:p>
          <w:p w14:paraId="6169A684"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ejendomsmægleren indfører nedenstående tekst i </w:t>
            </w:r>
          </w:p>
          <w:p w14:paraId="2D260FDD"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købsaftalen, inden du underskriver den:</w:t>
            </w:r>
          </w:p>
          <w:p w14:paraId="283B5911" w14:textId="77777777" w:rsidR="004F3520" w:rsidRPr="000A7BE5" w:rsidRDefault="004F3520" w:rsidP="000A7BE5">
            <w:pPr>
              <w:rPr>
                <w:rFonts w:asciiTheme="majorHAnsi" w:hAnsiTheme="majorHAnsi" w:cstheme="majorHAnsi"/>
                <w:sz w:val="20"/>
                <w:szCs w:val="20"/>
                <w:lang w:val="da-DK"/>
              </w:rPr>
            </w:pPr>
          </w:p>
          <w:p w14:paraId="07D4BB78" w14:textId="77777777" w:rsidR="004F3520" w:rsidRPr="000A7BE5" w:rsidRDefault="004F3520" w:rsidP="000A7BE5">
            <w:pPr>
              <w:rPr>
                <w:rFonts w:asciiTheme="majorHAnsi" w:hAnsiTheme="majorHAnsi" w:cstheme="majorHAnsi"/>
                <w:i/>
                <w:iCs/>
                <w:sz w:val="20"/>
                <w:szCs w:val="20"/>
                <w:lang w:val="da-DK"/>
              </w:rPr>
            </w:pPr>
            <w:r w:rsidRPr="000A7BE5">
              <w:rPr>
                <w:rFonts w:asciiTheme="majorHAnsi" w:hAnsiTheme="majorHAnsi" w:cstheme="majorHAnsi"/>
                <w:i/>
                <w:iCs/>
                <w:sz w:val="20"/>
                <w:szCs w:val="20"/>
                <w:lang w:val="da-DK"/>
              </w:rPr>
              <w:t xml:space="preserve">"Handelen er betinget af, at den kan godkendes i sin helhed </w:t>
            </w:r>
          </w:p>
          <w:p w14:paraId="1785E3E6" w14:textId="5D5D814E" w:rsidR="004F3520" w:rsidRPr="000A7BE5" w:rsidRDefault="004F3520" w:rsidP="000A7BE5">
            <w:pPr>
              <w:rPr>
                <w:rFonts w:asciiTheme="majorHAnsi" w:hAnsiTheme="majorHAnsi" w:cstheme="majorHAnsi"/>
                <w:i/>
                <w:iCs/>
                <w:sz w:val="20"/>
                <w:szCs w:val="20"/>
                <w:lang w:val="da-DK"/>
              </w:rPr>
            </w:pPr>
            <w:r w:rsidRPr="000A7BE5">
              <w:rPr>
                <w:rFonts w:asciiTheme="majorHAnsi" w:hAnsiTheme="majorHAnsi" w:cstheme="majorHAnsi"/>
                <w:i/>
                <w:iCs/>
                <w:sz w:val="20"/>
                <w:szCs w:val="20"/>
                <w:lang w:val="da-DK"/>
              </w:rPr>
              <w:t>af Boliga Skødes rådgivere hos købers mægler. Eventuelle indsigelser skal være ejendomsmægleren i hænde senest 6 hverdage efter købers og sælgers underskrift."</w:t>
            </w:r>
          </w:p>
          <w:p w14:paraId="0684A52E" w14:textId="77777777" w:rsidR="004F3520" w:rsidRPr="000A7BE5" w:rsidRDefault="004F3520" w:rsidP="000A7BE5">
            <w:pPr>
              <w:rPr>
                <w:rFonts w:asciiTheme="majorHAnsi" w:hAnsiTheme="majorHAnsi" w:cstheme="majorHAnsi"/>
                <w:i/>
                <w:iCs/>
                <w:sz w:val="20"/>
                <w:szCs w:val="20"/>
                <w:lang w:val="da-DK"/>
              </w:rPr>
            </w:pPr>
          </w:p>
          <w:p w14:paraId="29C19926"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Indtastede data videregives til Boliga Skødes </w:t>
            </w:r>
          </w:p>
          <w:p w14:paraId="630BA8FF" w14:textId="031D0C91"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samarbejdspartner</w:t>
            </w:r>
          </w:p>
        </w:tc>
      </w:tr>
    </w:tbl>
    <w:p w14:paraId="1C916839" w14:textId="2C6EE5D1" w:rsidR="004F3520" w:rsidRPr="000A7BE5" w:rsidRDefault="004F3520" w:rsidP="000A7BE5">
      <w:pPr>
        <w:rPr>
          <w:rFonts w:asciiTheme="majorHAnsi" w:hAnsiTheme="majorHAnsi" w:cstheme="majorHAnsi"/>
          <w:sz w:val="20"/>
          <w:szCs w:val="20"/>
          <w:lang w:val="da-DK"/>
        </w:rPr>
      </w:pPr>
    </w:p>
    <w:p w14:paraId="35733D85" w14:textId="1DB98E0F" w:rsidR="00B601FC"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lastRenderedPageBreak/>
        <w:t>Kun 4 trin</w:t>
      </w:r>
    </w:p>
    <w:p w14:paraId="0189574F" w14:textId="77777777"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Så let er det</w:t>
      </w:r>
    </w:p>
    <w:p w14:paraId="728B8AA6" w14:textId="1C5BAC13"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Hele processen foregår digitalt og varetages af professionelle og erfarne ejendomsmæglere og jurister. </w:t>
      </w:r>
      <w:r w:rsidRPr="000A7BE5">
        <w:rPr>
          <w:rFonts w:asciiTheme="majorHAnsi" w:hAnsiTheme="majorHAnsi" w:cstheme="majorHAnsi"/>
          <w:sz w:val="20"/>
          <w:szCs w:val="20"/>
          <w:lang w:val="da-DK"/>
        </w:rPr>
        <w:br/>
        <w:t>Det sikrer dig et nemt, hurtigt og prisvenligt forløb.</w:t>
      </w:r>
    </w:p>
    <w:tbl>
      <w:tblPr>
        <w:tblStyle w:val="TableGrid"/>
        <w:tblW w:w="0" w:type="auto"/>
        <w:tblLook w:val="04A0" w:firstRow="1" w:lastRow="0" w:firstColumn="1" w:lastColumn="0" w:noHBand="0" w:noVBand="1"/>
      </w:tblPr>
      <w:tblGrid>
        <w:gridCol w:w="2254"/>
        <w:gridCol w:w="2254"/>
        <w:gridCol w:w="2254"/>
        <w:gridCol w:w="2254"/>
      </w:tblGrid>
      <w:tr w:rsidR="000A7BE5" w:rsidRPr="000A7BE5" w14:paraId="7C42BC5D" w14:textId="77777777" w:rsidTr="000A7BE5">
        <w:tc>
          <w:tcPr>
            <w:tcW w:w="2254" w:type="dxa"/>
          </w:tcPr>
          <w:p w14:paraId="6E0947B1" w14:textId="09265303"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Du giver os alle </w:t>
            </w:r>
            <w:r w:rsidRPr="000A7BE5">
              <w:rPr>
                <w:rFonts w:asciiTheme="majorHAnsi" w:hAnsiTheme="majorHAnsi" w:cstheme="majorHAnsi"/>
                <w:sz w:val="20"/>
                <w:szCs w:val="20"/>
                <w:lang w:val="da-DK"/>
              </w:rPr>
              <w:br/>
              <w:t>oplysninger om handlen</w:t>
            </w:r>
          </w:p>
        </w:tc>
        <w:tc>
          <w:tcPr>
            <w:tcW w:w="2254" w:type="dxa"/>
          </w:tcPr>
          <w:p w14:paraId="75104E5A" w14:textId="481CBA2B"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Vi laver et skøde og </w:t>
            </w:r>
            <w:r w:rsidRPr="000A7BE5">
              <w:rPr>
                <w:rFonts w:asciiTheme="majorHAnsi" w:hAnsiTheme="majorHAnsi" w:cstheme="majorHAnsi"/>
                <w:sz w:val="20"/>
                <w:szCs w:val="20"/>
                <w:lang w:val="da-DK"/>
              </w:rPr>
              <w:br/>
              <w:t xml:space="preserve">fremsender et udkast </w:t>
            </w:r>
            <w:r w:rsidRPr="000A7BE5">
              <w:rPr>
                <w:rFonts w:asciiTheme="majorHAnsi" w:hAnsiTheme="majorHAnsi" w:cstheme="majorHAnsi"/>
                <w:sz w:val="20"/>
                <w:szCs w:val="20"/>
                <w:lang w:val="da-DK"/>
              </w:rPr>
              <w:br/>
              <w:t>elektronisk</w:t>
            </w:r>
          </w:p>
        </w:tc>
        <w:tc>
          <w:tcPr>
            <w:tcW w:w="2254" w:type="dxa"/>
          </w:tcPr>
          <w:p w14:paraId="0D9AD90C" w14:textId="7D095DD2"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Handlens parter godkender </w:t>
            </w:r>
            <w:r w:rsidRPr="000A7BE5">
              <w:rPr>
                <w:rFonts w:asciiTheme="majorHAnsi" w:hAnsiTheme="majorHAnsi" w:cstheme="majorHAnsi"/>
                <w:sz w:val="20"/>
                <w:szCs w:val="20"/>
                <w:lang w:val="da-DK"/>
              </w:rPr>
              <w:br/>
              <w:t>og underskriver skødet og betaler tinglysningsafgift</w:t>
            </w:r>
          </w:p>
        </w:tc>
        <w:tc>
          <w:tcPr>
            <w:tcW w:w="2254" w:type="dxa"/>
          </w:tcPr>
          <w:p w14:paraId="088548B3" w14:textId="6B614E74"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Skødet tinglyses og vi giver besked, når tinglysningen er klar, </w:t>
            </w:r>
            <w:r w:rsidRPr="000A7BE5">
              <w:rPr>
                <w:rFonts w:asciiTheme="majorHAnsi" w:hAnsiTheme="majorHAnsi" w:cstheme="majorHAnsi"/>
                <w:sz w:val="20"/>
                <w:szCs w:val="20"/>
                <w:lang w:val="da-DK"/>
              </w:rPr>
              <w:br/>
              <w:t>og købesummen kan frigives</w:t>
            </w:r>
          </w:p>
        </w:tc>
      </w:tr>
    </w:tbl>
    <w:p w14:paraId="03E50400" w14:textId="0F0B9A13" w:rsidR="000A7BE5"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t>Læs mere om skødeskrivning her</w:t>
      </w:r>
    </w:p>
    <w:p w14:paraId="321250F8" w14:textId="03B90E04" w:rsidR="000A7BE5" w:rsidRPr="000A7BE5" w:rsidRDefault="000A7BE5" w:rsidP="000A7BE5">
      <w:pPr>
        <w:rPr>
          <w:rFonts w:asciiTheme="majorHAnsi" w:hAnsiTheme="majorHAnsi" w:cstheme="majorHAnsi"/>
          <w:sz w:val="20"/>
          <w:szCs w:val="20"/>
          <w:lang w:val="da-DK"/>
        </w:rPr>
      </w:pPr>
    </w:p>
    <w:p w14:paraId="6D5B73B6" w14:textId="73360768" w:rsidR="000A7BE5"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t>Stol trygt på os</w:t>
      </w:r>
    </w:p>
    <w:p w14:paraId="7AC71B70" w14:textId="6733C2C5"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Kunde-anmeldelser på Trustpilot</w:t>
      </w:r>
    </w:p>
    <w:sectPr w:rsidR="000A7BE5" w:rsidRPr="000A7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20"/>
    <w:rsid w:val="000A7BE5"/>
    <w:rsid w:val="004F3520"/>
    <w:rsid w:val="00867568"/>
    <w:rsid w:val="00B601FC"/>
    <w:rsid w:val="00D4246B"/>
    <w:rsid w:val="00D65393"/>
    <w:rsid w:val="00D83103"/>
    <w:rsid w:val="00FA638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B615"/>
  <w15:chartTrackingRefBased/>
  <w15:docId w15:val="{D4B5FA17-048D-403E-909E-610DCAD3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Calundan</dc:creator>
  <cp:keywords/>
  <dc:description/>
  <cp:lastModifiedBy>Line Hviid</cp:lastModifiedBy>
  <cp:revision>4</cp:revision>
  <dcterms:created xsi:type="dcterms:W3CDTF">2020-08-18T11:43:00Z</dcterms:created>
  <dcterms:modified xsi:type="dcterms:W3CDTF">2020-12-08T08:42:00Z</dcterms:modified>
</cp:coreProperties>
</file>